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D2" w:rsidRDefault="00CF545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BOSHLANGʻICH TAʼLIM MUTAXASSISLIGINING TEST</w:t>
      </w:r>
    </w:p>
    <w:p w:rsidR="007C53D2" w:rsidRDefault="00CF54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SPETSIFIKATSIYASI</w:t>
      </w:r>
    </w:p>
    <w:p w:rsidR="007C53D2" w:rsidRPr="00D9309A" w:rsidRDefault="00CF5457" w:rsidP="00D9309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Mazkur test spetsifikatsiyasining maqsadi boshlangʻich taʼlim yoʻnalishida dars berayotgan mutaxassisga qoʻyilgan minimum bilim darajasini aniqlash uchun qoʻllaniladigan test variantlarini strukturasi va qoʻyiladigan talablarni belgilashdan iborat. Mazkur 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hujjatga aprobatsiyalar natijasida olingan qoʻshimchalar, oʻzgartirishlar va tuzatishlar kiritilishi mumkin.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I. Boshlangʻich taʼlim yoʻnalishi fanlaridan bilim, koʻnikma va malakalarini baholashning test sinovi turlari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Boshlangʻich taʼlim yoʻnalishini bit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irgan mutaxassislarning bilimlarini baholashning test sinovi tartibi quyidagi ikki qismdan iborat: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1. Boshlangʻich taʼlim mutaxassislarining tayyorgarligini baholash;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Bu qismga doir topshiriqlar umumiy Boshlangʻich taʼlim mutaxassisi egallashi lozim boʻl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gan bilim, koʻnikma va kompetensiyalarni baholashga moʻljallangan topshiriqlardan iborat boʻladi</w:t>
      </w:r>
      <w:r w:rsidRPr="00D9309A">
        <w:rPr>
          <w:rFonts w:ascii="Times New Roman" w:hAnsi="Times New Roman" w:cs="Times New Roman"/>
          <w:sz w:val="28"/>
          <w:szCs w:val="28"/>
        </w:rPr>
        <w:t>;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Boshlangʻich taʼlim yoʻnalishi mutaxassisi boʻyicha olgan amaliy koʻnikmalarini baholash;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Boshlangʻich taʼlim yoʻnalishining,  pedagogika, psixologiya, m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axsus metodika va qoʻshimcha mutaxassislik boʻyicha egallashi lozim boʻlgan amaliy koʻnikmalar toʻplamini avtomatizm darajasida egallagani va qoʻllay bilishi tekshiriladi. </w:t>
      </w:r>
    </w:p>
    <w:p w:rsidR="007C53D2" w:rsidRPr="00D9309A" w:rsidRDefault="00CF5457" w:rsidP="00CF545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Umumiy oʻrta taʼlim maktablarining boshlangʻich sinf oʻqituvchilarining taʼlim </w:t>
      </w: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yoʻnalishidan bilimlarini baholashda test sinovida qamrab olingan boshlangʻich taʼlimning mazmun sohalari </w:t>
      </w:r>
    </w:p>
    <w:p w:rsidR="007C53D2" w:rsidRPr="00D9309A" w:rsidRDefault="00CF5457" w:rsidP="00CF545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Boshlangʻich taʼlim yoʻnalishini bitirgan bakalavrlarning bilimlarini baholashda ushbu yoʻnalish boʻyicha malaka talablariga mos va turdosh boʻlgan a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dabiyotlar asosida boshlangʻich taʼlimning quyidagi mazmun sohalarini qamrab oladi: </w:t>
      </w:r>
    </w:p>
    <w:p w:rsidR="007C53D2" w:rsidRPr="00CF5457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457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>Oʻqish savodxonligi;</w:t>
      </w:r>
    </w:p>
    <w:p w:rsidR="007C53D2" w:rsidRPr="00CF5457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457">
        <w:rPr>
          <w:rFonts w:ascii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 xml:space="preserve">Ona tili;  </w:t>
      </w:r>
    </w:p>
    <w:p w:rsidR="007C53D2" w:rsidRPr="00CF5457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457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 xml:space="preserve">Matematika; </w:t>
      </w:r>
    </w:p>
    <w:p w:rsidR="007C53D2" w:rsidRPr="00CF5457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57">
        <w:rPr>
          <w:rFonts w:ascii="Times New Roman" w:hAnsi="Times New Roman" w:cs="Times New Roman"/>
          <w:color w:val="000000"/>
          <w:sz w:val="28"/>
          <w:szCs w:val="28"/>
        </w:rPr>
        <w:t>IV.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>Tabiiy fanlar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5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CF54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Tarbiya.</w:t>
      </w:r>
    </w:p>
    <w:p w:rsidR="007C53D2" w:rsidRPr="00D9309A" w:rsidRDefault="00CF5457" w:rsidP="00D9309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III.</w:t>
      </w:r>
      <w:r w:rsidR="00D930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Boshlangʻich taʼlim yoʻnalishidan test sinovi asosida talabgorning bilimini baholashning tayyorgarlik talablari:</w:t>
      </w:r>
    </w:p>
    <w:p w:rsidR="007C53D2" w:rsidRPr="00D9309A" w:rsidRDefault="00CF5457" w:rsidP="00D9309A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Test sinovi asosida boshlangʻich taʼlim yoʻnalishidan talabgor bilimlari quyidagi boshlangʻich taʼlim tayyorgarlikka qoʻyiladigan talablar 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asosida baholanadi: </w:t>
      </w:r>
    </w:p>
    <w:p w:rsidR="007C53D2" w:rsidRPr="00D9309A" w:rsidRDefault="00CF5457" w:rsidP="00D930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Ona tili: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nutq tovushlari va harflar, so‘z tarkibi, fonetik hodisalar, undoshlarning jarangli va jarangsizligi, qo‘shimchalarning imlosi, qo‘shma va juft so‘zlar imlosi mavzulari doirasida test topshiriqlarini ishlay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so‘zlarning leksik ma’nosi, bir ma’noli va ko‘p ma’noli so‘zlar, omonimlar va paronimlar, sinonimlar va antonimlar kabi mavzular doirasida test topshiriqlarini ishlay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o‘qib tushunish qobiliyatining mavjudligi;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mustaqil va yordamchi so‘z turkumlari,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alohida olingan so‘zlar mavzulari doirasida test topshiriqlarini ishlay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so‘z birikmasi va sodda gap, gapning asosiy qismlari, gapning ikkinchi darajali bo‘laklari mavzulari doirasida test topshiriqlarini ishlay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nutq uslublari, nutq qismlar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ining ba’zi shakllaridan foydalanish, uslubiy xatolarni aniqlay olishi bo‘yicha test topshiriqlarini ishlay olishi.</w:t>
      </w:r>
    </w:p>
    <w:p w:rsidR="007C53D2" w:rsidRPr="00D9309A" w:rsidRDefault="00CF5457" w:rsidP="00D930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2. Oʻqish savodxonligi: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xalq og‘zaki ijodiga doir mavzular bilan bog‘liq tahlillarni amalga oshira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mustaqillik davri o‘zbek she’riya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ti, nasri, badiiy xarakter va adabiy tip, she’r tuzilishi, metafora, metonimiya, o‘xshatish, jonlantirish, sifatlash, qofiya, radif kabi badiiy san’atlar mavzulari doirasida test topshiriqlarini ishlay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adabiyot nazariyasiga, adabiyotshunoslikning t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arkibiy qismlariga doir test topshiriqlarini ishlay olishi; 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mumtoz adabiyot vakillarining ijod namunalari bo‘lgan g‘azal, qit’a, tuyuq va ruboiy kabilarni ajrata olishi;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o‘zbek adabiyotining zabardast vakillari bo‘lgan Alisher Navoiy, Zahiriddin Muhammad 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Bobur, Abdulla Qodiriy, Cho‘lpon, G‘afur G‘ulom, Oybek, Abdulla Qahhor, Zulfiya, Azim Suyun, Xurshid Davron, Po‘lat Mo‘min, Muazzam Ibrohimova, Quddus Muhammadiy, Anvar Obidjon, Xudoyberdi To‘xtaboyev, O‘tkir Xoshimov, Abdulla Oripov, Erkin Vohidov, Qambar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Otayev, Farxod Musajonov ijodiga oid mavzular doirasida test topshiriqlarini ishlay olishi.</w:t>
      </w:r>
    </w:p>
    <w:p w:rsidR="007C53D2" w:rsidRPr="00D9309A" w:rsidRDefault="00CF5457" w:rsidP="00D930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3. Matematika: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natural, kasr, butun sonlar ustida amallarga doir hisoblashlarni bajarish;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algebraik ifodalar va shakl almashtirishlarni, tenglamalarni bajarish; 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geometrik shakllar, geometrik mushohada yuritish va masala yechish.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matematik modellarni qurish va tadqiq qilish;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statistika va ehtimollik, to‘plamlar va mantiq elementlari, ma’lumotlarni statistik tahlil qilish, kombinatorika asoslariga doir masalal</w:t>
      </w:r>
      <w:r w:rsidR="00D9309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r yech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o‘lchamlar va uning tatbiqlariga doir topshiriqlarni bajarish.</w:t>
      </w:r>
    </w:p>
    <w:p w:rsidR="00CF5457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Tabiiy fanlar: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left="56" w:right="49"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quyosh sistemasi va uning tuzilishi, sayyoralar, Yer va Oyning xususiyatlarini; Yerning shakli, oʻlchamlarini, harakati Yerning ichki tuzilishi. Litosfera gidrosfera atmo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sfera qatlamlari va ularda roʻy beradigan jarayonlarni; Materiklar va Dunyo okeanlari, Yer yuzi tabiati (geotizimlar) xilma-xilligiga ta’sirini tushunishi va uning qismlarining tuzilishi, ulardan oqilona foydalanishning ahamiyatini, sayyoramiz tabiatidagi 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o‘rnini tavsiflash; 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right="49"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Oʻrta Osiyo va Oʻzbekistonning geografik oʻrni, maydoni va chegaralariga oid topshiriqlarni bajara olish, Oʻzbekiston Respublikasining maʼmuriy-hududiy tuzilishi, tabiiy sharoit va resurslarining aholi joylashuvi, aholisining soni, 12 ta viloyat, Qoraqalpo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gʻiston Respublikasi hamda Toshkent shahrining kompleks geografik tavsifini bilish, farqlay olish, taqqoslash, tahlil qilishga doir topshiriqlarni bajara olish;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right="49"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sz w:val="28"/>
          <w:szCs w:val="28"/>
        </w:rPr>
        <w:t>t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abiat, borliq, olamning tuzilishi, unda kechayotgan hodisa va jarayonlarni o‘rganishning metod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ologik asosini ilmiy bilish, biologiya fani tarmoqlari, hayot va tiriklikning mohiyati, oʻsimliklar va hayvonlar sistematikasini farqlay olish, taqqoslash, tahlil qilish, klassifikatsiyalashni amalda qoʻllashga doir topshiriqlarni bajara olish.</w:t>
      </w:r>
    </w:p>
    <w:p w:rsidR="007C53D2" w:rsidRPr="00D9309A" w:rsidRDefault="00CF5457" w:rsidP="00D9309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5. Tarbiya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insonning ma’naviy va axloqiy qadriyatlarining mazmun va mohiyatini ajrata olish; 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fuqarolik hissi, faol fuqarolik pozitsiyasini bilish; 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o‘z - o‘zini anglash, tuygʻularni anglash va ifodalashni oʻrganish, oʻz-oʻzini ijobiy baholashga doir topshiriqlarni b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ajarish;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inson va jamiyat, milliy an’analar, ma’naviy va umuminsoniy qadriyatlarni hurmat qilishga doir fikrlarni ajrata olish;</w:t>
      </w:r>
    </w:p>
    <w:p w:rsidR="007C53D2" w:rsidRPr="00D9309A" w:rsidRDefault="00CF5457" w:rsidP="00CF545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ekologik tarbiya, ekologik muammolarni oʻrganish va tahlil qilish, aniq xulosalar chiqarish, samarali qarorlar qabul qilishni bi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>lish.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Eslatma 1: </w:t>
      </w:r>
      <w:r w:rsidRPr="00D9309A">
        <w:rPr>
          <w:rFonts w:ascii="Times New Roman" w:hAnsi="Times New Roman" w:cs="Times New Roman"/>
          <w:i/>
          <w:color w:val="000000"/>
          <w:sz w:val="28"/>
          <w:szCs w:val="28"/>
        </w:rPr>
        <w:t>Bu talablar umumiy holda berilib, ular boshlangʻich taʼlim yoʻnalishining amaldagi malaka talablaridan kelib chiqib, boshlangʻich taʼlim yoʻnalishidan bilimlarni baholashda talabgorlarning test sinovi topshiriqlari yordamida quyidagi aqli</w:t>
      </w:r>
      <w:r w:rsidRPr="00D9309A">
        <w:rPr>
          <w:rFonts w:ascii="Times New Roman" w:hAnsi="Times New Roman" w:cs="Times New Roman"/>
          <w:i/>
          <w:color w:val="000000"/>
          <w:sz w:val="28"/>
          <w:szCs w:val="28"/>
        </w:rPr>
        <w:t>y faoliyat turlari baholanadi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1. Bilish- 5 ta</w:t>
      </w:r>
      <w:r w:rsidR="00D930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2. Qoʻllash-25 ta</w:t>
      </w:r>
      <w:r w:rsidR="00D930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D2" w:rsidRPr="00D9309A" w:rsidRDefault="00CF5457" w:rsidP="00CF545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09A">
        <w:rPr>
          <w:rFonts w:ascii="Times New Roman" w:hAnsi="Times New Roman" w:cs="Times New Roman"/>
          <w:color w:val="000000"/>
          <w:sz w:val="28"/>
          <w:szCs w:val="28"/>
        </w:rPr>
        <w:t>3. Mulohaza yuritish -5 ta</w:t>
      </w:r>
      <w:r w:rsidR="00D930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5457" w:rsidRDefault="00CF5457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7C53D2" w:rsidRPr="00D9309A" w:rsidRDefault="00CF5457" w:rsidP="00CF5457">
      <w:pPr>
        <w:spacing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IV.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b/>
          <w:color w:val="000000"/>
          <w:sz w:val="28"/>
          <w:szCs w:val="28"/>
        </w:rPr>
        <w:t>Boshlangʻich taʼlim yoʻnalishi mutaxassislari bilimlarini baholashning attestatsiyasi test sinovi spetsifikatsiyasi (formati)</w:t>
      </w:r>
    </w:p>
    <w:tbl>
      <w:tblPr>
        <w:tblStyle w:val="a9"/>
        <w:tblpPr w:leftFromText="180" w:rightFromText="180" w:vertAnchor="text" w:tblpX="78" w:tblpY="257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355"/>
        <w:gridCol w:w="1823"/>
        <w:gridCol w:w="1418"/>
        <w:gridCol w:w="3209"/>
      </w:tblGrid>
      <w:tr w:rsidR="007C53D2" w:rsidTr="00D9309A">
        <w:trPr>
          <w:trHeight w:val="861"/>
        </w:trPr>
        <w:tc>
          <w:tcPr>
            <w:tcW w:w="495" w:type="dxa"/>
          </w:tcPr>
          <w:p w:rsidR="007C53D2" w:rsidRDefault="007C53D2">
            <w:pPr>
              <w:spacing w:before="0" w:after="0" w:line="240" w:lineRule="auto"/>
            </w:pPr>
          </w:p>
          <w:p w:rsidR="007C53D2" w:rsidRDefault="007C53D2">
            <w:pPr>
              <w:spacing w:before="0" w:after="0" w:line="240" w:lineRule="auto"/>
            </w:pPr>
          </w:p>
        </w:tc>
        <w:tc>
          <w:tcPr>
            <w:tcW w:w="2355" w:type="dxa"/>
          </w:tcPr>
          <w:p w:rsidR="007C53D2" w:rsidRDefault="00CF5457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Baholanadigan talablar</w:t>
            </w:r>
          </w:p>
          <w:p w:rsidR="007C53D2" w:rsidRDefault="007C53D2">
            <w:pPr>
              <w:spacing w:before="0" w:after="0" w:line="240" w:lineRule="auto"/>
              <w:jc w:val="center"/>
            </w:pPr>
          </w:p>
        </w:tc>
        <w:tc>
          <w:tcPr>
            <w:tcW w:w="1823" w:type="dxa"/>
          </w:tcPr>
          <w:p w:rsidR="007C53D2" w:rsidRDefault="00CF545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Mazmun sohasi</w:t>
            </w:r>
          </w:p>
        </w:tc>
        <w:tc>
          <w:tcPr>
            <w:tcW w:w="1418" w:type="dxa"/>
          </w:tcPr>
          <w:p w:rsidR="007C53D2" w:rsidRDefault="00CF545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</w:t>
            </w:r>
            <w:r>
              <w:rPr>
                <w:rFonts w:ascii="Times New Roman" w:hAnsi="Times New Roman" w:cs="Times New Roman"/>
                <w:b/>
              </w:rPr>
              <w:t>shiriq</w:t>
            </w:r>
          </w:p>
          <w:p w:rsidR="007C53D2" w:rsidRDefault="00CF545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 soni</w:t>
            </w:r>
          </w:p>
        </w:tc>
        <w:tc>
          <w:tcPr>
            <w:tcW w:w="3209" w:type="dxa"/>
          </w:tcPr>
          <w:p w:rsidR="007C53D2" w:rsidRDefault="00CF5457" w:rsidP="00D9309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Baholanadi</w:t>
            </w:r>
            <w:r>
              <w:rPr>
                <w:rFonts w:ascii="Times New Roman" w:hAnsi="Times New Roman" w:cs="Times New Roman"/>
                <w:b/>
              </w:rPr>
              <w:t xml:space="preserve">gan aqliy faoliyat  </w:t>
            </w:r>
          </w:p>
        </w:tc>
      </w:tr>
      <w:tr w:rsidR="007C53D2" w:rsidTr="00D9309A">
        <w:trPr>
          <w:trHeight w:val="411"/>
        </w:trPr>
        <w:tc>
          <w:tcPr>
            <w:tcW w:w="495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5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O‘qish savodxonligi</w:t>
            </w:r>
          </w:p>
        </w:tc>
        <w:tc>
          <w:tcPr>
            <w:tcW w:w="1823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I</w:t>
            </w: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Bilish</w:t>
            </w:r>
          </w:p>
        </w:tc>
      </w:tr>
      <w:tr w:rsidR="007C53D2" w:rsidTr="00D9309A">
        <w:trPr>
          <w:trHeight w:val="405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13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296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48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29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81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7C53D2" w:rsidTr="00D9309A">
        <w:trPr>
          <w:trHeight w:val="433"/>
        </w:trPr>
        <w:tc>
          <w:tcPr>
            <w:tcW w:w="495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5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Ona tili</w:t>
            </w:r>
          </w:p>
        </w:tc>
        <w:tc>
          <w:tcPr>
            <w:tcW w:w="1823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18" w:type="dxa"/>
            <w:vMerge w:val="restart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Bilish</w:t>
            </w:r>
          </w:p>
        </w:tc>
      </w:tr>
      <w:tr w:rsidR="007C53D2" w:rsidTr="00D9309A">
        <w:trPr>
          <w:trHeight w:val="435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9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Mulohaza </w:t>
            </w:r>
          </w:p>
        </w:tc>
      </w:tr>
      <w:tr w:rsidR="007C53D2" w:rsidTr="00D9309A">
        <w:trPr>
          <w:trHeight w:val="415"/>
        </w:trPr>
        <w:tc>
          <w:tcPr>
            <w:tcW w:w="495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5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Маtematika</w:t>
            </w:r>
          </w:p>
        </w:tc>
        <w:tc>
          <w:tcPr>
            <w:tcW w:w="1823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418" w:type="dxa"/>
            <w:vMerge w:val="restart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Bilish</w:t>
            </w:r>
          </w:p>
        </w:tc>
      </w:tr>
      <w:tr w:rsidR="007C53D2" w:rsidTr="00D9309A">
        <w:trPr>
          <w:trHeight w:val="54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2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Qo‘llash </w:t>
            </w:r>
          </w:p>
        </w:tc>
      </w:tr>
      <w:tr w:rsidR="007C53D2" w:rsidTr="00D9309A">
        <w:trPr>
          <w:trHeight w:val="411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276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366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27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06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12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7C53D2" w:rsidTr="00D9309A">
        <w:trPr>
          <w:trHeight w:val="418"/>
        </w:trPr>
        <w:tc>
          <w:tcPr>
            <w:tcW w:w="495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5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Tabiiy fanlar</w:t>
            </w:r>
          </w:p>
        </w:tc>
        <w:tc>
          <w:tcPr>
            <w:tcW w:w="1823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1418" w:type="dxa"/>
            <w:vMerge w:val="restart"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Bilish</w:t>
            </w:r>
          </w:p>
        </w:tc>
      </w:tr>
      <w:tr w:rsidR="007C53D2" w:rsidTr="00D9309A">
        <w:trPr>
          <w:trHeight w:val="47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16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49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500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09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414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7C53D2" w:rsidTr="00D9309A">
        <w:trPr>
          <w:trHeight w:val="613"/>
        </w:trPr>
        <w:tc>
          <w:tcPr>
            <w:tcW w:w="495" w:type="dxa"/>
            <w:vMerge w:val="restart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5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Tarbiya</w:t>
            </w:r>
          </w:p>
        </w:tc>
        <w:tc>
          <w:tcPr>
            <w:tcW w:w="1823" w:type="dxa"/>
            <w:vMerge w:val="restart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V</w:t>
            </w:r>
          </w:p>
        </w:tc>
        <w:tc>
          <w:tcPr>
            <w:tcW w:w="1418" w:type="dxa"/>
            <w:vMerge w:val="restart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Bilish</w:t>
            </w:r>
          </w:p>
        </w:tc>
      </w:tr>
      <w:tr w:rsidR="007C53D2" w:rsidTr="00D9309A">
        <w:trPr>
          <w:trHeight w:val="613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Qo‘llash</w:t>
            </w:r>
          </w:p>
        </w:tc>
      </w:tr>
      <w:tr w:rsidR="007C53D2" w:rsidTr="00D9309A">
        <w:trPr>
          <w:trHeight w:val="613"/>
        </w:trPr>
        <w:tc>
          <w:tcPr>
            <w:tcW w:w="49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Mulohaza</w:t>
            </w:r>
          </w:p>
        </w:tc>
      </w:tr>
      <w:tr w:rsidR="007C53D2" w:rsidTr="00D9309A">
        <w:trPr>
          <w:trHeight w:val="613"/>
        </w:trPr>
        <w:tc>
          <w:tcPr>
            <w:tcW w:w="495" w:type="dxa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1823" w:type="dxa"/>
          </w:tcPr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  <w:p w:rsidR="007C53D2" w:rsidRDefault="007C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Bilish-5</w:t>
            </w: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Qo‘llash-25</w:t>
            </w:r>
          </w:p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Mulohaza-5</w:t>
            </w:r>
          </w:p>
        </w:tc>
      </w:tr>
    </w:tbl>
    <w:p w:rsidR="007C53D2" w:rsidRDefault="007C53D2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9309A" w:rsidRDefault="00D9309A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C53D2" w:rsidRDefault="00CF5457" w:rsidP="00D9309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Eslatma 2: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test sinovining yuqorida keltirilgan (testlar soni, ajratilgan vaqti,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bali, murakkablik darajasi kabi) koʻrsatkichlariga tajriba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sinov natijalari va ilmiy asosli tahlilidan kelib chiqib, tegishli oʻzgartirishlar kiritilishi mumkin. </w:t>
      </w:r>
    </w:p>
    <w:p w:rsidR="007C53D2" w:rsidRDefault="00CF5457" w:rsidP="00D9309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</w:t>
      </w:r>
      <w:r w:rsidR="00D930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Boshlangʻich taʼlim yoʻnalishi bo‘yicha bilimlarni baholashning qismlari boʻyicha qiyosiy koʻrsatkichlari</w:t>
      </w:r>
    </w:p>
    <w:tbl>
      <w:tblPr>
        <w:tblStyle w:val="aa"/>
        <w:tblW w:w="913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530"/>
        <w:gridCol w:w="930"/>
        <w:gridCol w:w="900"/>
        <w:gridCol w:w="1305"/>
        <w:gridCol w:w="1500"/>
        <w:gridCol w:w="2235"/>
      </w:tblGrid>
      <w:tr w:rsidR="007C53D2">
        <w:trPr>
          <w:trHeight w:val="14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 sinovi qismlari</w:t>
            </w:r>
          </w:p>
          <w:p w:rsidR="007C53D2" w:rsidRDefault="007C53D2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Qamrabolinganmazmunsohalari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Topshiriqlar soni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Ajratilgan vaqt</w:t>
            </w:r>
          </w:p>
          <w:p w:rsidR="007C53D2" w:rsidRDefault="007C53D2">
            <w:pPr>
              <w:spacing w:before="280" w:line="240" w:lineRule="auto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Murakkablik darajasi</w:t>
            </w:r>
          </w:p>
          <w:p w:rsidR="007C53D2" w:rsidRDefault="007C53D2">
            <w:pPr>
              <w:spacing w:before="28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  <w:ind w:firstLine="422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Aqliy faoliyat turi </w:t>
            </w:r>
          </w:p>
          <w:p w:rsidR="007C53D2" w:rsidRDefault="007C53D2">
            <w:pPr>
              <w:spacing w:before="280" w:line="240" w:lineRule="auto"/>
            </w:pPr>
          </w:p>
        </w:tc>
      </w:tr>
      <w:tr w:rsidR="007C53D2">
        <w:trPr>
          <w:trHeight w:val="18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7C53D2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9A" w:rsidRDefault="00CF5457" w:rsidP="00D9309A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309A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Pedagogning boshlangʻich</w:t>
            </w:r>
            <w:r w:rsidRPr="00D930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taʼlim tayyorgarli</w:t>
            </w:r>
          </w:p>
          <w:p w:rsidR="007C53D2" w:rsidRPr="00D9309A" w:rsidRDefault="00D9309A" w:rsidP="00D9309A">
            <w:pPr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CF5457" w:rsidRPr="00D930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F5457" w:rsidRPr="00D930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baholash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– V</w:t>
            </w:r>
          </w:p>
          <w:p w:rsidR="007C53D2" w:rsidRDefault="007C53D2">
            <w:pPr>
              <w:spacing w:before="280" w:after="280" w:line="240" w:lineRule="auto"/>
              <w:jc w:val="center"/>
            </w:pPr>
          </w:p>
          <w:p w:rsidR="007C53D2" w:rsidRDefault="007C53D2">
            <w:pPr>
              <w:spacing w:before="28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line="240" w:lineRule="auto"/>
            </w:pPr>
            <w:r>
              <w:t xml:space="preserve"> 90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daraja- 5    II daraja- 25 III daraja-5</w:t>
            </w:r>
          </w:p>
          <w:p w:rsidR="007C53D2" w:rsidRDefault="007C53D2">
            <w:pPr>
              <w:spacing w:before="28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2" w:rsidRDefault="00CF5457">
            <w:pPr>
              <w:spacing w:after="28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Bilish — 10 Qoʻllash- 50 Mulohaza qilish-10</w:t>
            </w:r>
          </w:p>
          <w:p w:rsidR="007C53D2" w:rsidRDefault="007C53D2">
            <w:pPr>
              <w:spacing w:before="280" w:line="240" w:lineRule="auto"/>
            </w:pPr>
          </w:p>
        </w:tc>
      </w:tr>
    </w:tbl>
    <w:p w:rsidR="007C53D2" w:rsidRDefault="00CF54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VI. Boshlangʻich taʼlim yoʻnalishi boʻyicha sohalarining mazmun elementlari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kodifikatori</w:t>
      </w:r>
    </w:p>
    <w:p w:rsidR="007C53D2" w:rsidRDefault="00CF545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Boshlangʻich taʼlim yoʻnalishi boʻyicha bilimlarni baholashda test sinovi topshiriqlarini tuzish uchun boshlangʻich taʼlim yoʻnalishi boʻyicha sohalarning mazmun elementlari kodifikatori malaka talablari va boshlangʻich taʼlim yoʻnalishlari boʻyicha oʻquv </w:t>
      </w:r>
      <w:r>
        <w:rPr>
          <w:rFonts w:ascii="Times New Roman" w:hAnsi="Times New Roman" w:cs="Times New Roman"/>
          <w:color w:val="000000"/>
          <w:sz w:val="28"/>
          <w:szCs w:val="28"/>
        </w:rPr>
        <w:t>dasturlari mazmuni asosida tuzilgan. Boshlangʻich taʼlim sohalari mazmun elementlari kodifikatori Oliy taʼlim tizimi doirasida koʻzda tutilgan barcha mazmun elementlari va malaka talablarini qamrab oladi. Jadvalning birinchi ustunida boshlangʻich taʼlimnin</w:t>
      </w:r>
      <w:r>
        <w:rPr>
          <w:rFonts w:ascii="Times New Roman" w:hAnsi="Times New Roman" w:cs="Times New Roman"/>
          <w:color w:val="000000"/>
          <w:sz w:val="28"/>
          <w:szCs w:val="28"/>
        </w:rPr>
        <w:t>g mazmun sohalari kodi, ikkinchi ustunida baholanadigan mazmun elementi kodi va uchinchi ustunda attestatsiya test sinovida baholanadigan mazmun elementi keltirilgan.</w:t>
      </w:r>
    </w:p>
    <w:tbl>
      <w:tblPr>
        <w:tblStyle w:val="ab"/>
        <w:tblW w:w="9420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400"/>
        <w:gridCol w:w="5700"/>
      </w:tblGrid>
      <w:tr w:rsidR="007C53D2">
        <w:tc>
          <w:tcPr>
            <w:tcW w:w="1320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Soha kodi</w:t>
            </w:r>
          </w:p>
        </w:tc>
        <w:tc>
          <w:tcPr>
            <w:tcW w:w="2400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Baholanadigan mazmun elementi kodi</w:t>
            </w:r>
          </w:p>
        </w:tc>
        <w:tc>
          <w:tcPr>
            <w:tcW w:w="5700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Test sinovida baholanadigan mazmun elementi </w:t>
            </w:r>
          </w:p>
        </w:tc>
      </w:tr>
      <w:tr w:rsidR="007C53D2">
        <w:trPr>
          <w:trHeight w:val="280"/>
        </w:trPr>
        <w:tc>
          <w:tcPr>
            <w:tcW w:w="1320" w:type="dxa"/>
          </w:tcPr>
          <w:p w:rsidR="007C53D2" w:rsidRDefault="00CF5457">
            <w:pPr>
              <w:ind w:firstLine="360"/>
            </w:pPr>
            <w:r>
              <w:t>I</w:t>
            </w:r>
          </w:p>
        </w:tc>
        <w:tc>
          <w:tcPr>
            <w:tcW w:w="8100" w:type="dxa"/>
            <w:gridSpan w:val="2"/>
          </w:tcPr>
          <w:p w:rsidR="007C53D2" w:rsidRDefault="00D930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O‘QISH SAVODXONLIGI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1.1.1 </w:t>
            </w:r>
          </w:p>
          <w:p w:rsidR="007C53D2" w:rsidRDefault="007C53D2"/>
        </w:tc>
        <w:tc>
          <w:tcPr>
            <w:tcW w:w="5700" w:type="dxa"/>
          </w:tcPr>
          <w:p w:rsidR="007C53D2" w:rsidRDefault="00CF5457" w:rsidP="00D9309A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Xalq og‘zaki ijodi, mumtoz va zamonaviy asar namunalari. Bolalar adabiyoti namoy</w:t>
            </w:r>
            <w:r w:rsidR="00D93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ndalari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700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Badiiy asar qahramonlari sifatlari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700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Badiiy asarning gʻoyaviy-badiiy xususiyati</w:t>
            </w:r>
          </w:p>
        </w:tc>
      </w:tr>
      <w:tr w:rsidR="007C53D2">
        <w:trPr>
          <w:trHeight w:val="320"/>
        </w:trPr>
        <w:tc>
          <w:tcPr>
            <w:tcW w:w="1320" w:type="dxa"/>
          </w:tcPr>
          <w:p w:rsidR="007C53D2" w:rsidRDefault="00CF5457">
            <w:pPr>
              <w:ind w:firstLine="281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8100" w:type="dxa"/>
            <w:gridSpan w:val="2"/>
          </w:tcPr>
          <w:p w:rsidR="007C53D2" w:rsidRDefault="00D93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ONA TILI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>
            <w:pPr>
              <w:ind w:firstLine="28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7C53D2" w:rsidRDefault="00CF5457" w:rsidP="00D9309A">
            <w:pPr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Tilshunoslik boʻlimlari 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/>
        </w:tc>
        <w:tc>
          <w:tcPr>
            <w:tcW w:w="2400" w:type="dxa"/>
            <w:vAlign w:val="center"/>
          </w:tcPr>
          <w:p w:rsidR="007C53D2" w:rsidRDefault="00CF5457" w:rsidP="00D9309A">
            <w:pPr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Fonetika 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/>
        </w:tc>
        <w:tc>
          <w:tcPr>
            <w:tcW w:w="2400" w:type="dxa"/>
            <w:vAlign w:val="center"/>
          </w:tcPr>
          <w:p w:rsidR="007C53D2" w:rsidRDefault="00CF5457" w:rsidP="00D9309A">
            <w:pPr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Orfografiya 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>
            <w:pPr>
              <w:ind w:firstLine="240"/>
            </w:pPr>
          </w:p>
        </w:tc>
        <w:tc>
          <w:tcPr>
            <w:tcW w:w="2400" w:type="dxa"/>
            <w:vAlign w:val="center"/>
          </w:tcPr>
          <w:p w:rsidR="007C53D2" w:rsidRDefault="00CF5457" w:rsidP="00D9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Leksikologiya 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/>
        </w:tc>
        <w:tc>
          <w:tcPr>
            <w:tcW w:w="2400" w:type="dxa"/>
            <w:vAlign w:val="center"/>
          </w:tcPr>
          <w:p w:rsidR="007C53D2" w:rsidRDefault="00CF5457" w:rsidP="00D9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Morfemika. Soʻz tarkibi. Soʻz yasalishi 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>
            <w:pPr>
              <w:ind w:firstLine="240"/>
            </w:pPr>
          </w:p>
        </w:tc>
        <w:tc>
          <w:tcPr>
            <w:tcW w:w="2400" w:type="dxa"/>
            <w:vAlign w:val="center"/>
          </w:tcPr>
          <w:p w:rsidR="007C53D2" w:rsidRDefault="00CF5457" w:rsidP="00D9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Morfologiya (Mustaqil soʻz turkumlari. Ot, sifat, son, feʼl, olmosh)</w:t>
            </w:r>
          </w:p>
        </w:tc>
      </w:tr>
      <w:tr w:rsidR="007C53D2" w:rsidTr="00D9309A">
        <w:tc>
          <w:tcPr>
            <w:tcW w:w="1320" w:type="dxa"/>
          </w:tcPr>
          <w:p w:rsidR="007C53D2" w:rsidRDefault="007C53D2"/>
        </w:tc>
        <w:tc>
          <w:tcPr>
            <w:tcW w:w="2400" w:type="dxa"/>
            <w:vAlign w:val="center"/>
          </w:tcPr>
          <w:p w:rsidR="007C53D2" w:rsidRDefault="00CF5457" w:rsidP="00D9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6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Sintaksis (Sodda gap sintaksisi. Gap boʻlaklari)</w:t>
            </w:r>
          </w:p>
        </w:tc>
      </w:tr>
      <w:tr w:rsidR="007C53D2" w:rsidTr="00D9309A">
        <w:trPr>
          <w:trHeight w:val="283"/>
        </w:trPr>
        <w:tc>
          <w:tcPr>
            <w:tcW w:w="1320" w:type="dxa"/>
          </w:tcPr>
          <w:p w:rsidR="007C53D2" w:rsidRDefault="00CF545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100" w:type="dxa"/>
            <w:gridSpan w:val="2"/>
          </w:tcPr>
          <w:p w:rsidR="007C53D2" w:rsidRDefault="00D93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Arifmetik amallar va tenglamalar.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3.1.2 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Amaliy masalalarni diagrammalar yordamida yechish. Mantiqiy va hayotiy masalalar. Kombinatorika.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3.1.3 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Kasrlar. Kasrlar ustida amallar . Kasrlarni taqqoslash. Foizlar, proporsiyalar va kasrlarga oid sodda masalalar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Natural, butun va ratsional sonlarni bir-biridan farqlash.Juft va toqlikka oid qiziqarli nostandart va matnli masalalar. Taqriban sonlar.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ind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3.1.5 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Hajm, shakl yuzasini topishga doir geometrik masalalar. Simmetriyaga oid sodda geometrik masalalar . </w:t>
            </w:r>
          </w:p>
        </w:tc>
      </w:tr>
      <w:tr w:rsidR="007C53D2" w:rsidTr="00D9309A">
        <w:trPr>
          <w:trHeight w:val="280"/>
        </w:trPr>
        <w:tc>
          <w:tcPr>
            <w:tcW w:w="1320" w:type="dxa"/>
          </w:tcPr>
          <w:p w:rsidR="007C53D2" w:rsidRDefault="00CF5457">
            <w:pPr>
              <w:ind w:firstLine="281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100" w:type="dxa"/>
            <w:gridSpan w:val="2"/>
            <w:vAlign w:val="center"/>
          </w:tcPr>
          <w:p w:rsidR="007C53D2" w:rsidRDefault="00D9309A" w:rsidP="00D93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TABIIY FANLAR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Odam va uning ichki a’zolari. Nafas olish tizimi. Miya va asab tizimi .Sezgi organlari.       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Hayvonat dunyosi. Umurtqali va umurtqasiz jonivorlar.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Yer. Yer tuzilishi. Relyef.  Quyosh sistemasi. Sayyoralar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4.1.4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O‘simlik va hayvonlarning Qizil kitobi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4.1.5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O‘simliklar va atrof-muhit.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4.1.6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Energiya. Nur. Kuch. Harakat.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4.1.7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Jonsiz tabiat. Suv, tuproq, havo. Foydali qazilmalar.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4.1.8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Globus. Xarita. O‘zbekiston ma’muriy-hududiy bo‘linmasi. </w:t>
            </w:r>
          </w:p>
        </w:tc>
      </w:tr>
      <w:tr w:rsidR="007C53D2">
        <w:tc>
          <w:tcPr>
            <w:tcW w:w="1320" w:type="dxa"/>
          </w:tcPr>
          <w:p w:rsidR="007C53D2" w:rsidRDefault="007C53D2"/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4.1.9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Ko‘rinmas olam. Foydali va zararli bakteriyalar.</w:t>
            </w:r>
          </w:p>
        </w:tc>
      </w:tr>
      <w:tr w:rsidR="007C53D2">
        <w:trPr>
          <w:trHeight w:val="360"/>
        </w:trPr>
        <w:tc>
          <w:tcPr>
            <w:tcW w:w="1320" w:type="dxa"/>
          </w:tcPr>
          <w:p w:rsidR="007C53D2" w:rsidRDefault="00CF5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100" w:type="dxa"/>
            <w:gridSpan w:val="2"/>
          </w:tcPr>
          <w:p w:rsidR="007C53D2" w:rsidRDefault="00D9309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9309A">
              <w:rPr>
                <w:rFonts w:ascii="Times New Roman" w:hAnsi="Times New Roman" w:cs="Times New Roman"/>
                <w:b/>
                <w:sz w:val="28"/>
                <w:szCs w:val="36"/>
              </w:rPr>
              <w:t>TARBIYA</w:t>
            </w:r>
          </w:p>
        </w:tc>
      </w:tr>
      <w:tr w:rsidR="007C53D2">
        <w:tc>
          <w:tcPr>
            <w:tcW w:w="1320" w:type="dxa"/>
          </w:tcPr>
          <w:p w:rsidR="007C53D2" w:rsidRDefault="007C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Odob-axloq qoidalari.</w:t>
            </w:r>
          </w:p>
        </w:tc>
      </w:tr>
      <w:tr w:rsidR="007C53D2">
        <w:tc>
          <w:tcPr>
            <w:tcW w:w="1320" w:type="dxa"/>
          </w:tcPr>
          <w:p w:rsidR="007C53D2" w:rsidRDefault="007C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An’analar. Fan va madaniyat. </w:t>
            </w:r>
          </w:p>
        </w:tc>
      </w:tr>
      <w:tr w:rsidR="007C53D2">
        <w:tc>
          <w:tcPr>
            <w:tcW w:w="1320" w:type="dxa"/>
          </w:tcPr>
          <w:p w:rsidR="007C53D2" w:rsidRDefault="007C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C53D2" w:rsidRDefault="00CF5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5700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Ekologiya va salomatlik. Biz va atrofimdagi olam.</w:t>
            </w:r>
          </w:p>
        </w:tc>
      </w:tr>
    </w:tbl>
    <w:p w:rsidR="007C53D2" w:rsidRDefault="00CF5457" w:rsidP="00D9309A">
      <w:pPr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VII. Boshlang‘ich taʼlim yo‘nalishi bo‘yicha bilimlarni baholashda test sinovida kadrlarning tayyorgarlik darajasiga qo‘yiladigan talablar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(ko‘nikmalar)ning kodifikatori </w:t>
      </w:r>
    </w:p>
    <w:p w:rsidR="007C53D2" w:rsidRDefault="00CF5457">
      <w:pPr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Boshlang‘ich taʼlim yo‘nalishi bo‘yicha bilimlarni baholashda test sinovida talabgorlarning tayyorgarlik darajasiga qo‘yiladigan talablar(ko‘nikmalar)ning kodifikatori umumiy o‘rta taʼlim muassasalari o‘qituvchilariga qo‘yiladigan malaka talablari va boshl</w:t>
      </w:r>
      <w:r>
        <w:rPr>
          <w:rFonts w:ascii="Times New Roman" w:hAnsi="Times New Roman" w:cs="Times New Roman"/>
          <w:color w:val="000000"/>
          <w:sz w:val="28"/>
          <w:szCs w:val="28"/>
        </w:rPr>
        <w:t>ang‘ich taʼlim yo‘nalishlari bo‘yicha yaratilgan o‘quv dasturlari mazmuni asosida tuzilgan. Boshlang‘ich taʼlimning barcha yo‘nalishlari bo‘yicha talablarning kodifikatori taʼlim muassasalari o‘qituvchilarining shu soha bo‘yicha tayyorgarlik darajasiga qo‘</w:t>
      </w:r>
      <w:r>
        <w:rPr>
          <w:rFonts w:ascii="Times New Roman" w:hAnsi="Times New Roman" w:cs="Times New Roman"/>
          <w:color w:val="000000"/>
          <w:sz w:val="28"/>
          <w:szCs w:val="28"/>
        </w:rPr>
        <w:t>yiladigan asosiy talablarni o‘z ichiga oladi. Jadvalning birinchi ustunida Boshlang‘ich taʼlimning mazmun sohasi kodi, ikkinchi ustunida baholanadigan ko‘nikmalar kodi va uchinchi ustunida test sinovida baholanadigan ko‘nikmalarga qo‘yilgan talablar keltir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ilgan. </w:t>
      </w:r>
    </w:p>
    <w:tbl>
      <w:tblPr>
        <w:tblStyle w:val="ac"/>
        <w:tblW w:w="9690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565"/>
        <w:gridCol w:w="5415"/>
      </w:tblGrid>
      <w:tr w:rsidR="007C53D2">
        <w:tc>
          <w:tcPr>
            <w:tcW w:w="1710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Soha kodi </w:t>
            </w:r>
          </w:p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Baholanadigan koʻnikma kodi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Test sinovida baholanadigan koʻnikmalar</w:t>
            </w:r>
          </w:p>
          <w:p w:rsidR="007C53D2" w:rsidRDefault="007C53D2"/>
        </w:tc>
      </w:tr>
      <w:tr w:rsidR="007C53D2">
        <w:trPr>
          <w:trHeight w:val="280"/>
        </w:trPr>
        <w:tc>
          <w:tcPr>
            <w:tcW w:w="1710" w:type="dxa"/>
          </w:tcPr>
          <w:p w:rsidR="007C53D2" w:rsidRDefault="00CF5457">
            <w:r>
              <w:t>1</w:t>
            </w:r>
          </w:p>
        </w:tc>
        <w:tc>
          <w:tcPr>
            <w:tcW w:w="7980" w:type="dxa"/>
            <w:gridSpan w:val="2"/>
          </w:tcPr>
          <w:p w:rsidR="007C53D2" w:rsidRDefault="00D930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O‘QISH SAVODXONLIGI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  <w:p w:rsidR="007C53D2" w:rsidRDefault="007C53D2"/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Xalq ogʻzaki ijodi, mumtoz va zamonaviy asarga munosabat bildira</w:t>
            </w:r>
            <w:r w:rsidR="00AA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olish, bolalar adabiyoti namoya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ndalari haqida ma’lumotga ega bo‘lish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Asar qahramonlariga taʼrif bera olish;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  <w:p w:rsidR="007C53D2" w:rsidRDefault="007C53D2"/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Asarning gʻoyaviy- badiiy xususiyatini tahlil qila olish;</w:t>
            </w:r>
          </w:p>
        </w:tc>
      </w:tr>
      <w:tr w:rsidR="007C53D2">
        <w:trPr>
          <w:trHeight w:val="320"/>
        </w:trPr>
        <w:tc>
          <w:tcPr>
            <w:tcW w:w="1710" w:type="dxa"/>
          </w:tcPr>
          <w:p w:rsidR="007C53D2" w:rsidRDefault="00CF5457">
            <w:pPr>
              <w:ind w:firstLine="120"/>
            </w:pPr>
            <w:r>
              <w:t>2</w:t>
            </w:r>
          </w:p>
        </w:tc>
        <w:tc>
          <w:tcPr>
            <w:tcW w:w="7980" w:type="dxa"/>
            <w:gridSpan w:val="2"/>
          </w:tcPr>
          <w:p w:rsidR="007C53D2" w:rsidRDefault="00D9309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ONA TILI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Tilshunoslik boʻlimlari va ular orasidagi hodisalarni farqlash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2.2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Tovushlarning hosil boʻlish oʻrniga koʻra turlarini ajrata olish 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Gapda soʻzlarning maʼno turlariga koʻra bogʻlanishini aniqlash 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Grammatik mazmundagi topshiriqlarni yecha olish;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</w:p>
          <w:p w:rsidR="007C53D2" w:rsidRDefault="007C53D2"/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Soʻz</w:t>
            </w:r>
            <w:r w:rsidR="00AA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ibora va atama(termin)larning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aʼnosini tushunish va farqlay olish ;</w:t>
            </w:r>
          </w:p>
        </w:tc>
      </w:tr>
      <w:tr w:rsidR="007C53D2">
        <w:trPr>
          <w:trHeight w:val="280"/>
        </w:trPr>
        <w:tc>
          <w:tcPr>
            <w:tcW w:w="1710" w:type="dxa"/>
          </w:tcPr>
          <w:p w:rsidR="007C53D2" w:rsidRDefault="00CF5457">
            <w:r>
              <w:t>3</w:t>
            </w:r>
          </w:p>
        </w:tc>
        <w:tc>
          <w:tcPr>
            <w:tcW w:w="7980" w:type="dxa"/>
            <w:gridSpan w:val="2"/>
          </w:tcPr>
          <w:p w:rsidR="007C53D2" w:rsidRDefault="00D9309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MATEMATIKA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Ifoda tarkibidagi amallar tartibini aniqlash va yecha olish. Sodda va murakkab tenglamalarni yechish;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Hayotiy va mantiqiy masalalar yechimini topa olish. Amaliy masalalarni diagrammalar yordamida yechish va Venn diagrammasi haqida ma’lumotga ega bo‘lish;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 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Kasrlar. Kasrlarni qoʻshish va ayirish amallarini bajarish . Kasrlarni taqqoslay olish. Foizlar,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proporsiyalar va kasrlarga oid sodda masalalarni yechish;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Natural, butun va ratsional sonlarni bir-biridan farqlashga oid misollarni yechish. Juft va toqlikka oid qiziqarli nostandart va matnli masalalarni yechish;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Sodda geometrik figuralarni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farqlash;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3.6</w:t>
            </w:r>
          </w:p>
        </w:tc>
        <w:tc>
          <w:tcPr>
            <w:tcW w:w="5415" w:type="dxa"/>
          </w:tcPr>
          <w:p w:rsidR="007C53D2" w:rsidRDefault="00CF5457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Simmetriyaga oid sodda geometrik masalalar yechish; </w:t>
            </w:r>
          </w:p>
        </w:tc>
      </w:tr>
      <w:tr w:rsidR="007C53D2">
        <w:trPr>
          <w:trHeight w:val="280"/>
        </w:trPr>
        <w:tc>
          <w:tcPr>
            <w:tcW w:w="1710" w:type="dxa"/>
          </w:tcPr>
          <w:p w:rsidR="007C53D2" w:rsidRDefault="00CF5457">
            <w:r>
              <w:t>4</w:t>
            </w:r>
          </w:p>
        </w:tc>
        <w:tc>
          <w:tcPr>
            <w:tcW w:w="7980" w:type="dxa"/>
            <w:gridSpan w:val="2"/>
          </w:tcPr>
          <w:p w:rsidR="007C53D2" w:rsidRDefault="00D9309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TABIIY FANLAR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4.1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Odam va uning ichki a’zolari, nafas olish tizimi, miya va asab tizimiga oid hamda sezgi organlari haqida ma’lumotlarga ega bo‘lish;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4.2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Hayvonlar va o‘simliklarning o‘zaro bog‘liqligini bilish 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4.3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Yer sayyorasi, Yerning ichki tuzilishi,  Yer yuzasining relyefi, Quyosh sistemasi, sayyoralar haqida ma’lumotga ega bo‘lish;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4.4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Umurtqali va umurtqasiz jonivorlar, qushlar va sutemizuvchil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 haqida qiziqarli ma’lumotlarni bilish;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4.5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O‘simliklar va atrof-muhit,o‘simliklarning Qizil kitobi haqida ma’lumotga ega bo‘lish , 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4.6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Energiya. Nur. Kuch. Harakat.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4.7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Jonsiz tabiat haqida ma’lumotga ega bo‘lish.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4.8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Globus, xarita, O‘zbekiston xaritasi haqida ma’lumotga ega bo‘lish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r>
              <w:t>4.9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Ko‘rinmas olam, foydali va zararli bakteriyalar haqida va organizmni kasalliklardan himoya qilish usullari haqida ma’lumotga ega bo‘lish</w:t>
            </w:r>
          </w:p>
        </w:tc>
      </w:tr>
      <w:tr w:rsidR="007C53D2">
        <w:trPr>
          <w:trHeight w:val="320"/>
        </w:trPr>
        <w:tc>
          <w:tcPr>
            <w:tcW w:w="1710" w:type="dxa"/>
          </w:tcPr>
          <w:p w:rsidR="007C53D2" w:rsidRDefault="00CF5457">
            <w:r>
              <w:t>5</w:t>
            </w:r>
          </w:p>
        </w:tc>
        <w:tc>
          <w:tcPr>
            <w:tcW w:w="7980" w:type="dxa"/>
            <w:gridSpan w:val="2"/>
          </w:tcPr>
          <w:p w:rsidR="007C53D2" w:rsidRDefault="00D930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TARBIYA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Odob-axloq qoidalari haqida ma’lumotlarga ega bo‘lish;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An’analar, fan va madaniyat haqida ma’lumotlarga ega bo‘lish;</w:t>
            </w:r>
          </w:p>
        </w:tc>
      </w:tr>
      <w:tr w:rsidR="007C53D2">
        <w:tc>
          <w:tcPr>
            <w:tcW w:w="1710" w:type="dxa"/>
          </w:tcPr>
          <w:p w:rsidR="007C53D2" w:rsidRDefault="007C53D2"/>
        </w:tc>
        <w:tc>
          <w:tcPr>
            <w:tcW w:w="2565" w:type="dxa"/>
          </w:tcPr>
          <w:p w:rsidR="007C53D2" w:rsidRDefault="00CF54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</w:t>
            </w:r>
          </w:p>
        </w:tc>
        <w:tc>
          <w:tcPr>
            <w:tcW w:w="5415" w:type="dxa"/>
          </w:tcPr>
          <w:p w:rsidR="007C53D2" w:rsidRDefault="00CF54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Ekologiya va salomatlik haqida bilimlarga ega bo‘lish;</w:t>
            </w:r>
          </w:p>
        </w:tc>
      </w:tr>
    </w:tbl>
    <w:p w:rsidR="007C53D2" w:rsidRDefault="00CF5457" w:rsidP="00CF5457">
      <w:pPr>
        <w:spacing w:before="0" w:beforeAutospacing="0"/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VIII. Boshlangʻich taʼlim yoʻnalishidan bilimlarni baholashning test sinovi topshiriqlarining baholash mezonlari: </w:t>
      </w:r>
    </w:p>
    <w:p w:rsidR="00D9309A" w:rsidRDefault="00CF5457" w:rsidP="00CF54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Boshlangʻich taʼlim yoʻnalishi boʻyicha testlarning ogʻirlik darajasidan qatʼiy nazar har bir test uchun 2 ball beriladi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D2" w:rsidRDefault="00CF5457" w:rsidP="00CF54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Toʻgʻri javob uchu</w:t>
      </w:r>
      <w:r>
        <w:rPr>
          <w:rFonts w:ascii="Times New Roman" w:hAnsi="Times New Roman" w:cs="Times New Roman"/>
          <w:color w:val="000000"/>
          <w:sz w:val="28"/>
          <w:szCs w:val="28"/>
        </w:rPr>
        <w:t>n – 2 ball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D2" w:rsidRDefault="00CF5457" w:rsidP="00CF54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otoʻgʻri javob uchun – 0 ball.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Test sinoviga tayyorgarlik ko‘rish uchun foydalaniladigan adabiyotlar ro‘yxati: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Matematika 1-4- sinflar I.V.Repyova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Matematika 5-sinf B.Q.Haydarov “Huquq va jamiat” 2020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O‘qish savodxonligi 1-sinf U.B.Aydarova, N.K.Azizova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O‘qish savodxonligi 2-sinf U.B.Aydarova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O‘qish savodxonligi 3-sinf U.B.Aydarova, M.E.Toirova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O‘qish savodxonligi 4-sinf U.B.Aydarova, M.E.Toirova “Novda</w:t>
      </w:r>
      <w:r>
        <w:rPr>
          <w:rFonts w:ascii="Times New Roman" w:hAnsi="Times New Roman" w:cs="Times New Roman"/>
          <w:sz w:val="28"/>
          <w:szCs w:val="28"/>
        </w:rPr>
        <w:t>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Alifbe 1-sinf N.K.Azizova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Tarbiya 1-4-sinf O.V.Usmanova, Y,V,Risyukulova “Novda” 2023</w:t>
      </w:r>
    </w:p>
    <w:p w:rsidR="007C53D2" w:rsidRPr="00D9309A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309A">
        <w:rPr>
          <w:rFonts w:ascii="Times New Roman" w:hAnsi="Times New Roman" w:cs="Times New Roman"/>
          <w:spacing w:val="-8"/>
          <w:sz w:val="28"/>
          <w:szCs w:val="28"/>
        </w:rPr>
        <w:t>Tabiiy fan 1-4-sinf O.E. Tigay, Y.V.Malikova, S.V.Kosyanenko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Ona tili 1-sinf D.Yuldashova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Ona tili 2-sinf S.Kuranov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Ona tili 3-sinf M.E.Toirova D.D.Boynazarova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Ona tili 4-sinf M.E.Toirova D.D.Boynazarova “Novda” 2023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Ona tili 5-sinf N.Mahmudov, A.Sobirov, Sh.Sattorov, Sh.Toshmirzayeva, 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D.Mannopova G‘af</w:t>
      </w:r>
      <w:r>
        <w:rPr>
          <w:rFonts w:ascii="Times New Roman" w:hAnsi="Times New Roman" w:cs="Times New Roman"/>
          <w:sz w:val="28"/>
          <w:szCs w:val="28"/>
        </w:rPr>
        <w:t>ur G‘ulom nomidagi nashriyot matbaa ijodiy uyi- 2020</w:t>
      </w:r>
    </w:p>
    <w:p w:rsidR="007C53D2" w:rsidRDefault="00AA1A2C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Ona tili </w:t>
      </w:r>
      <w:r w:rsidR="00CF5457">
        <w:rPr>
          <w:rFonts w:ascii="Times New Roman" w:hAnsi="Times New Roman" w:cs="Times New Roman"/>
          <w:sz w:val="28"/>
          <w:szCs w:val="28"/>
        </w:rPr>
        <w:t xml:space="preserve">6-sinf uchun darslik </w:t>
      </w:r>
      <w:r>
        <w:rPr>
          <w:rFonts w:ascii="Times New Roman" w:hAnsi="Times New Roman" w:cs="Times New Roman"/>
          <w:sz w:val="28"/>
          <w:szCs w:val="28"/>
        </w:rPr>
        <w:t>K.M.</w:t>
      </w:r>
      <w:r w:rsidR="00CF5457">
        <w:rPr>
          <w:rFonts w:ascii="Times New Roman" w:hAnsi="Times New Roman" w:cs="Times New Roman"/>
          <w:sz w:val="28"/>
          <w:szCs w:val="28"/>
        </w:rPr>
        <w:t>Mavlo</w:t>
      </w:r>
      <w:r w:rsidR="00D9309A">
        <w:rPr>
          <w:rFonts w:ascii="Times New Roman" w:hAnsi="Times New Roman" w:cs="Times New Roman"/>
          <w:sz w:val="28"/>
          <w:szCs w:val="28"/>
        </w:rPr>
        <w:t>nova [va boshq.]. Respublika ta’</w:t>
      </w:r>
      <w:r w:rsidR="00CF5457">
        <w:rPr>
          <w:rFonts w:ascii="Times New Roman" w:hAnsi="Times New Roman" w:cs="Times New Roman"/>
          <w:sz w:val="28"/>
          <w:szCs w:val="28"/>
        </w:rPr>
        <w:t>lim markazi, 2022</w:t>
      </w:r>
    </w:p>
    <w:p w:rsidR="007C53D2" w:rsidRPr="00D9309A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9309A">
        <w:rPr>
          <w:rFonts w:ascii="Times New Roman" w:hAnsi="Times New Roman" w:cs="Times New Roman"/>
          <w:spacing w:val="-8"/>
          <w:sz w:val="28"/>
          <w:szCs w:val="28"/>
        </w:rPr>
        <w:t xml:space="preserve">Boshlang‘ich sinflarda “Ona tili o‘qitish metodikasi”Pedagogika oliy ta’lim 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muassasalarining b</w:t>
      </w:r>
      <w:r>
        <w:rPr>
          <w:rFonts w:ascii="Times New Roman" w:hAnsi="Times New Roman" w:cs="Times New Roman"/>
          <w:sz w:val="28"/>
          <w:szCs w:val="28"/>
        </w:rPr>
        <w:t xml:space="preserve">oshlang‘ich ta’lim fakulteti talabari uchun K.Qosimova, 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S.Matchonov, X.G‘ulomova, Sh. Yo‘ldosheva, Sh.Sariyev   “Bayoz” - 2022</w:t>
      </w:r>
    </w:p>
    <w:p w:rsidR="007C53D2" w:rsidRDefault="00CF5457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Boshlang‘ich sinflarda “Matematika o‘qitish metodikasi”Pedagogika oliy </w:t>
      </w:r>
      <w:r>
        <w:rPr>
          <w:rFonts w:ascii="Times New Roman" w:hAnsi="Times New Roman" w:cs="Times New Roman"/>
          <w:sz w:val="28"/>
          <w:szCs w:val="28"/>
        </w:rPr>
        <w:t>ta’lim muassasalarining boshlang‘ich ta’lim fakultet</w:t>
      </w:r>
      <w:r>
        <w:rPr>
          <w:rFonts w:ascii="Times New Roman" w:hAnsi="Times New Roman" w:cs="Times New Roman"/>
          <w:sz w:val="28"/>
          <w:szCs w:val="28"/>
        </w:rPr>
        <w:t>i talabalari uchun</w:t>
      </w:r>
      <w:r w:rsidR="00D9309A">
        <w:rPr>
          <w:rFonts w:ascii="Times New Roman" w:hAnsi="Times New Roman" w:cs="Times New Roman"/>
          <w:sz w:val="28"/>
          <w:szCs w:val="28"/>
        </w:rPr>
        <w:t xml:space="preserve"> M.E.Jumayev, Z.G‘</w:t>
      </w:r>
      <w:r>
        <w:rPr>
          <w:rFonts w:ascii="Times New Roman" w:hAnsi="Times New Roman" w:cs="Times New Roman"/>
          <w:sz w:val="28"/>
          <w:szCs w:val="28"/>
        </w:rPr>
        <w:t>.Tadjiyeva “Bayoz”- 2022</w:t>
      </w:r>
    </w:p>
    <w:p w:rsidR="007C53D2" w:rsidRDefault="00D9309A" w:rsidP="00D9309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Adabuyot 6-sinf uchun darslik Z.Mirzayeva, K.Jalilov </w:t>
      </w:r>
      <w:r w:rsidR="00CF5457">
        <w:rPr>
          <w:rFonts w:ascii="Times New Roman" w:hAnsi="Times New Roman" w:cs="Times New Roman"/>
          <w:sz w:val="28"/>
          <w:szCs w:val="28"/>
        </w:rPr>
        <w:t>Respublika ta'lim markazi, 2022</w:t>
      </w:r>
    </w:p>
    <w:p w:rsidR="007C53D2" w:rsidRDefault="007C5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53D2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2"/>
    <w:rsid w:val="007C53D2"/>
    <w:rsid w:val="00AA1A2C"/>
    <w:rsid w:val="00CF5457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8377"/>
  <w15:docId w15:val="{81BBB39E-2E0B-4086-937D-16D22B6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>
      <w:pPr>
        <w:spacing w:line="27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="Times New Roman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0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78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8C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C20BFF"/>
    <w:pPr>
      <w:spacing w:line="240" w:lineRule="auto"/>
    </w:pPr>
    <w:rPr>
      <w:rFonts w:ascii="Times New Roman" w:hAnsi="Times New Roman"/>
      <w:noProof w:val="0"/>
    </w:rPr>
  </w:style>
  <w:style w:type="table" w:styleId="a7">
    <w:name w:val="Grid Table Light"/>
    <w:basedOn w:val="a1"/>
    <w:uiPriority w:val="40"/>
    <w:rsid w:val="00521E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521E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135B52-C815-433A-8ABA-8005378EB7B1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7hAZsp8PHBcq9CNfh5Upt5LvA==">CgMxLjA4AHIhMTM3U2JZU3RwYTYxZzBuZ0d6WGF3RTRuc0dvN3FUTFhQ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dcterms:created xsi:type="dcterms:W3CDTF">2025-01-28T07:41:00Z</dcterms:created>
  <dcterms:modified xsi:type="dcterms:W3CDTF">2025-01-28T07:45:00Z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